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C1" w:rsidRPr="00DB0EC1" w:rsidRDefault="00DB0EC1" w:rsidP="00DB0EC1">
      <w:pPr>
        <w:spacing w:before="100" w:after="100"/>
        <w:jc w:val="both"/>
        <w:rPr>
          <w:b/>
          <w:color w:val="000000"/>
          <w:sz w:val="27"/>
          <w:szCs w:val="27"/>
        </w:rPr>
      </w:pPr>
      <w:r w:rsidRPr="00DB0EC1">
        <w:rPr>
          <w:b/>
          <w:color w:val="000000"/>
          <w:sz w:val="27"/>
          <w:szCs w:val="27"/>
        </w:rPr>
        <w:t>Л. 14. Н</w:t>
      </w:r>
      <w:bookmarkStart w:id="0" w:name="_GoBack"/>
      <w:bookmarkEnd w:id="0"/>
      <w:r w:rsidRPr="00DB0EC1">
        <w:rPr>
          <w:b/>
          <w:color w:val="000000"/>
          <w:sz w:val="27"/>
          <w:szCs w:val="27"/>
        </w:rPr>
        <w:t>аучно-технологическая политика Японии</w:t>
      </w:r>
    </w:p>
    <w:p w:rsidR="00DB0EC1" w:rsidRDefault="00DB0EC1" w:rsidP="00DB0EC1">
      <w:pPr>
        <w:spacing w:before="100" w:after="100" w:line="240" w:lineRule="auto"/>
        <w:jc w:val="both"/>
      </w:pPr>
    </w:p>
    <w:p w:rsidR="00DB0EC1" w:rsidRDefault="00DB0EC1" w:rsidP="00DB0EC1">
      <w:pPr>
        <w:spacing w:before="100" w:after="100" w:line="240" w:lineRule="auto"/>
        <w:jc w:val="both"/>
      </w:pPr>
    </w:p>
    <w:p w:rsidR="00DB0EC1" w:rsidRDefault="00DB0EC1" w:rsidP="00DB0EC1">
      <w:pPr>
        <w:spacing w:before="100" w:after="100" w:line="240" w:lineRule="auto"/>
        <w:jc w:val="both"/>
      </w:pPr>
      <w:r>
        <w:t xml:space="preserve">В.Е. </w:t>
      </w:r>
      <w:proofErr w:type="spellStart"/>
      <w:r>
        <w:t>Бекбосынова</w:t>
      </w:r>
      <w:proofErr w:type="spellEnd"/>
      <w:r>
        <w:t xml:space="preserve"> ФОРМИРОВАНИЕ НАУЧНО-ТЕХНОЛОГИЧЕКОЙ И ИННОВАЦИОННОЙ СИСТЕМЫ ЯПОНИИ (1868–2016)</w:t>
      </w:r>
    </w:p>
    <w:p w:rsidR="00DB0EC1" w:rsidRDefault="00DB0EC1" w:rsidP="00DB0EC1">
      <w:pPr>
        <w:spacing w:before="100" w:after="100" w:line="240" w:lineRule="auto"/>
        <w:jc w:val="both"/>
      </w:pPr>
      <w:hyperlink r:id="rId4" w:history="1">
        <w:r w:rsidRPr="00C76EE8">
          <w:rPr>
            <w:rStyle w:val="a3"/>
          </w:rPr>
          <w:t>file:///C:/Users/Pchelp/Downloads/Формирование%20научнотехнологичекой%20и%20инновационной%20системы%20Японии%20(1898</w:t>
        </w:r>
      </w:hyperlink>
    </w:p>
    <w:p w:rsidR="00DB0EC1" w:rsidRDefault="00DB0EC1" w:rsidP="00DB0EC1">
      <w:pPr>
        <w:pStyle w:val="1"/>
        <w:shd w:val="clear" w:color="auto" w:fill="FFFFFF"/>
        <w:spacing w:before="300"/>
        <w:rPr>
          <w:color w:val="666666"/>
          <w:sz w:val="42"/>
          <w:szCs w:val="42"/>
        </w:rPr>
      </w:pPr>
      <w:r>
        <w:rPr>
          <w:b/>
          <w:bCs/>
          <w:color w:val="666666"/>
          <w:sz w:val="42"/>
          <w:szCs w:val="42"/>
        </w:rPr>
        <w:t>Политика цифровой трансформация Японии на примере развития технологии искусственного интеллекта</w:t>
      </w:r>
    </w:p>
    <w:p w:rsidR="00DB0EC1" w:rsidRDefault="00DB0EC1" w:rsidP="00DB0EC1">
      <w:pPr>
        <w:shd w:val="clear" w:color="auto" w:fill="FFFFFF"/>
        <w:rPr>
          <w:rStyle w:val="a5"/>
          <w:rFonts w:ascii="Arial" w:hAnsi="Arial" w:cs="Arial"/>
          <w:color w:val="666666"/>
          <w:sz w:val="20"/>
          <w:szCs w:val="20"/>
        </w:rPr>
      </w:pPr>
      <w:hyperlink r:id="rId5" w:history="1">
        <w:r>
          <w:rPr>
            <w:rStyle w:val="a3"/>
            <w:rFonts w:ascii="Arial" w:hAnsi="Arial" w:cs="Arial"/>
            <w:i/>
            <w:iCs/>
            <w:color w:val="29ABE2"/>
            <w:sz w:val="20"/>
            <w:szCs w:val="20"/>
          </w:rPr>
          <w:t>К. С. Костюкова</w:t>
        </w:r>
      </w:hyperlink>
      <w:r>
        <w:rPr>
          <w:rStyle w:val="a5"/>
          <w:rFonts w:ascii="Arial" w:hAnsi="Arial" w:cs="Arial"/>
          <w:color w:val="666666"/>
          <w:sz w:val="20"/>
          <w:szCs w:val="20"/>
        </w:rPr>
        <w:t xml:space="preserve"> </w:t>
      </w:r>
      <w:hyperlink r:id="rId6" w:history="1">
        <w:r w:rsidRPr="00C76EE8">
          <w:rPr>
            <w:rStyle w:val="a3"/>
            <w:rFonts w:ascii="Arial" w:hAnsi="Arial" w:cs="Arial"/>
            <w:sz w:val="20"/>
            <w:szCs w:val="20"/>
          </w:rPr>
          <w:t>https://www.mir-nayka.com/jour/article/view/976?locale=ru_RU</w:t>
        </w:r>
      </w:hyperlink>
    </w:p>
    <w:p w:rsidR="00DB0EC1" w:rsidRDefault="00DB0EC1" w:rsidP="00DB0EC1">
      <w:pPr>
        <w:shd w:val="clear" w:color="auto" w:fill="FFFFFF"/>
        <w:rPr>
          <w:rFonts w:ascii="Arial" w:hAnsi="Arial" w:cs="Arial"/>
          <w:color w:val="666666"/>
          <w:sz w:val="20"/>
          <w:szCs w:val="20"/>
        </w:rPr>
      </w:pPr>
      <w:r>
        <w:t xml:space="preserve">Ю. Д. Денисов Основные направления </w:t>
      </w:r>
      <w:proofErr w:type="spellStart"/>
      <w:r>
        <w:t>научнотехнического</w:t>
      </w:r>
      <w:proofErr w:type="spellEnd"/>
      <w:r>
        <w:t xml:space="preserve"> прогресса в современной Японии </w:t>
      </w:r>
      <w:r w:rsidRPr="003D5040">
        <w:t>https://book.ivran.ru/sites/31/files/denisov-tekst.pdf</w:t>
      </w:r>
    </w:p>
    <w:p w:rsidR="00DB0EC1" w:rsidRPr="00C761DE" w:rsidRDefault="00DB0EC1" w:rsidP="00DB0EC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B0EC1" w:rsidRDefault="00DB0EC1" w:rsidP="00DB0EC1">
      <w:pPr>
        <w:spacing w:before="150" w:after="0" w:line="240" w:lineRule="auto"/>
        <w:textAlignment w:val="top"/>
      </w:pPr>
      <w:r>
        <w:t xml:space="preserve">Зарождение основ современной государственной политики Японии в области науки и технологий произошло в конце ХIХ века в результате реставрации </w:t>
      </w:r>
      <w:proofErr w:type="spellStart"/>
      <w:r>
        <w:t>Мэйдзи</w:t>
      </w:r>
      <w:proofErr w:type="spellEnd"/>
      <w:r>
        <w:t xml:space="preserve"> [1. С. 27], когда Япония, осознавая необходимость модернизации своего военно-промышленного комплекса, а также отраслей, напрямую связанных с ним, встала на путь индустриализации, которая осуществлялась при активном участии Запада, предоставлявшего Японии технологии и инвестировавшего средства в модернизацию японской экономики.</w:t>
      </w:r>
    </w:p>
    <w:p w:rsidR="00DB0EC1" w:rsidRDefault="00DB0EC1" w:rsidP="00DB0EC1">
      <w:pPr>
        <w:spacing w:before="150" w:after="0" w:line="240" w:lineRule="auto"/>
        <w:textAlignment w:val="top"/>
      </w:pPr>
      <w:r>
        <w:t xml:space="preserve">Период 1920–1930-х гг. проходил под влиянием перехода промышленности на военные рельсы, что привело к тому, что некоторые </w:t>
      </w:r>
      <w:proofErr w:type="gramStart"/>
      <w:r>
        <w:t>отрасли  науки</w:t>
      </w:r>
      <w:proofErr w:type="gramEnd"/>
      <w:r>
        <w:t xml:space="preserve">, не представляющие интереса для военной индустрии, испытывали недостаток финансирования [2. С. 41] </w:t>
      </w:r>
    </w:p>
    <w:p w:rsidR="00DB0EC1" w:rsidRDefault="00DB0EC1" w:rsidP="00DB0EC1">
      <w:pPr>
        <w:spacing w:before="150" w:after="0" w:line="240" w:lineRule="auto"/>
        <w:textAlignment w:val="top"/>
      </w:pPr>
      <w:r>
        <w:t>С 1945 г. до конца 1970-х гг. научно-техническая и инновационная политика Японии строилась на заимствовании зарубежных научно-технических достижений и продолжала работать на развитие индустриализации [4. С. 39–40]. В 1949 г. было основано Министерство внешней торговли и промышленности (MITI), в ведении которого теперь находилось выстраивание научно-технической политики. Принятая Министерством Программа финансирования так называемых «Крупных проектов» – проектов, направленных на генерирование новых знаний, но слишком дорогих, долгосрочных и рискованных для финансирования одной или несколькими компаниями [4. С. 40] – помогла японским компаниям в 1970-е гг. совершить прорыв в сфере производства полупроводников, компьютеров и микрочипов [1. С. 35] и существенно укрепить свои позиции на рынке электроники, составив конкуренцию США в этой отрасли.</w:t>
      </w:r>
    </w:p>
    <w:p w:rsidR="00DB0EC1" w:rsidRDefault="00DB0EC1" w:rsidP="00DB0EC1">
      <w:pPr>
        <w:spacing w:before="150" w:after="0" w:line="240" w:lineRule="auto"/>
        <w:textAlignment w:val="top"/>
      </w:pPr>
      <w:r>
        <w:t xml:space="preserve">С точки зрения характеристики научно-технического потенциала страны особенно важны данные о научно-исследовательском персонале. По его численности Япония значительно усту7 </w:t>
      </w:r>
      <w:proofErr w:type="spellStart"/>
      <w:r>
        <w:t>пает</w:t>
      </w:r>
      <w:proofErr w:type="spellEnd"/>
      <w:r>
        <w:t xml:space="preserve"> Соединенным Штатам, что наглядно видно из приводимых ниже данных, хотя следует учитывать, что для нее указано число научных работников, занятых только в области естественных и технических наук, т. е. около 85% всех научных работников (тыс.) Более половины научных работников Японии в 1985 г. работало в промышленности (59,6%), на вузы и НИИ приходилось соответственно 31,8 и 8,6%. Их распределение по отраслям науки позволяет представить приоритеты кадрового обеспечения НИОКР (%) (83, 1986, № 2, с. 26}: Отрасль Доля Электротехника (включая электронику) и </w:t>
      </w:r>
      <w:proofErr w:type="gramStart"/>
      <w:r>
        <w:t>связь .</w:t>
      </w:r>
      <w:proofErr w:type="gramEnd"/>
      <w:r>
        <w:t xml:space="preserve"> . 19,4 Механика и ее технические п р и л о ж е </w:t>
      </w:r>
      <w:proofErr w:type="gramStart"/>
      <w:r>
        <w:t>н</w:t>
      </w:r>
      <w:proofErr w:type="gramEnd"/>
      <w:r>
        <w:t xml:space="preserve"> и я .................... 17,4 М е д и ц и </w:t>
      </w:r>
      <w:proofErr w:type="gramStart"/>
      <w:r>
        <w:t>н</w:t>
      </w:r>
      <w:proofErr w:type="gramEnd"/>
      <w:r>
        <w:t xml:space="preserve"> а .................................................................................17,0 Х и м и я ..................... ....................................................... 14,3 Физика и </w:t>
      </w:r>
      <w:proofErr w:type="gramStart"/>
      <w:r>
        <w:t>м</w:t>
      </w:r>
      <w:proofErr w:type="gramEnd"/>
      <w:r>
        <w:t xml:space="preserve"> а т е м а т и к а ....................................................... 6,1 </w:t>
      </w:r>
      <w:r>
        <w:lastRenderedPageBreak/>
        <w:t xml:space="preserve">Сельскохозяйственные </w:t>
      </w:r>
      <w:proofErr w:type="gramStart"/>
      <w:r>
        <w:t>н</w:t>
      </w:r>
      <w:proofErr w:type="gramEnd"/>
      <w:r>
        <w:t xml:space="preserve"> а у к и .............................................5,9 Ф </w:t>
      </w:r>
      <w:proofErr w:type="spellStart"/>
      <w:r>
        <w:t>арм</w:t>
      </w:r>
      <w:proofErr w:type="spellEnd"/>
      <w:r>
        <w:t xml:space="preserve"> </w:t>
      </w:r>
      <w:proofErr w:type="spellStart"/>
      <w:r>
        <w:t>акологи</w:t>
      </w:r>
      <w:proofErr w:type="spellEnd"/>
      <w:r>
        <w:t xml:space="preserve"> я........................................................................ 3,2 Б и о л о </w:t>
      </w:r>
      <w:proofErr w:type="gramStart"/>
      <w:r>
        <w:t>г</w:t>
      </w:r>
      <w:proofErr w:type="gramEnd"/>
      <w:r>
        <w:t xml:space="preserve"> и я .................................................................................1,8 П р о ч и е ......................................................................................14,9 Из числа научных работников, занятых в промышленности, три четверти ведут исследования и разработки в области химии (20,5%), механики (25,7%), электротехники (28,8%). </w:t>
      </w:r>
      <w:proofErr w:type="spellStart"/>
      <w:r>
        <w:t>He</w:t>
      </w:r>
      <w:proofErr w:type="spellEnd"/>
      <w:r>
        <w:t xml:space="preserve"> имея полных данных о численности научных работников в других ведущих капиталистических странах, укажем, однако, для сравнения, что в ФРГ их насчитывалось в 1981 г. 128,2 тыс., во Франции в 1983 г.— 92,7 тыс., в Англии в 1981 г.—95,5 тыс. [</w:t>
      </w:r>
      <w:proofErr w:type="gramStart"/>
      <w:r>
        <w:t>И ,</w:t>
      </w:r>
      <w:proofErr w:type="gramEnd"/>
      <w:r>
        <w:t xml:space="preserve"> 1986, с. 28—29]. В Японии в общей структуре расходов на Н И О К Р 2, сформировавшейся к началу 80-х годов, доля расходов на фундаментальные исследования достаточно высока— 13,6% (1984/85 г.), что даже несколько больше, чем в США (12,6%). По удельному весу ассигнований на прикладные исследования обе страны довольно близки (25,1% в Японии и 22,1% в США). Обращает на себя внимание доминирование расходов на опытно-конструкторские разработки (O K </w:t>
      </w:r>
      <w:proofErr w:type="gramStart"/>
      <w:r>
        <w:t>P )</w:t>
      </w:r>
      <w:proofErr w:type="gramEnd"/>
      <w:r>
        <w:t>— 61,3%, что, несомненно, способствует полноте производственного освоения результатов фундаментальных и прикладных исследований.</w:t>
      </w:r>
    </w:p>
    <w:p w:rsidR="00DB0EC1" w:rsidRDefault="00DB0EC1" w:rsidP="00DB0EC1">
      <w:pPr>
        <w:spacing w:before="150" w:after="0" w:line="240" w:lineRule="auto"/>
        <w:textAlignment w:val="top"/>
      </w:pPr>
      <w:r>
        <w:t>НИОКР ведутся в Японии в промышленных компаниях (по данным за 1984/85 г., затраты последних составляют 71,6% общих расходов на Н И О К Р), в вузах (14,8%), государственных НИИ (9,8%) 3. В расходах компаний на НИОКР наибольший удельный вес занимают опытно-конструкторские разработки — 72,4% и лишь 5,6% идет на фундаментальные исследования. В вузах большая часть расходов приходится на фундаментальные (54,9%) и весьма значительная (36,6%) — на прикладные исследования. В НИИ в достаточно крупных пропорциях представлены все три вида работ: 13,9%— фундаментальные исследования, 29,9%— прикладные, 56,2%— OKP [11, 1986, с. 15, 30—31]. Учитывая распределение затрат на НИОКР, можно подсчитать, что около 60% всего объема фундаментальных исследований приходится на вузы и примерно 3 0 % — на компании. Последние финансируют также около 60% прикладных исследований и почти полностью — OKP (около 85%). выполнение прикладных исследований, и особенно завершающих их опытно-конструкторских разработок, самым непосредственным образом связано в Японии с финансовым, научно-техническим и производственным потенциалом частных промышленных компаний, являющихся мощными научно-производственными организациями и во многих случаях, особенно когда речь идет о крупных компаниях, широко диверсифицированными по отраслям. В результате существенно упрощается распространение научно-технических достижений сразу в нескольких отраслях.</w:t>
      </w:r>
    </w:p>
    <w:p w:rsidR="00DB0EC1" w:rsidRDefault="00DB0EC1" w:rsidP="00DB0EC1">
      <w:pPr>
        <w:spacing w:before="150" w:after="0" w:line="240" w:lineRule="auto"/>
        <w:textAlignment w:val="top"/>
      </w:pPr>
      <w:r>
        <w:t xml:space="preserve"> В 1980-х гг. Япония приобретает определённые конкурентные преимущества на мировом рынке, существенно увеличив долю в мировом экспорте товаров высоких технологий до 25%, а также занимает лидирующие позиции на рынке электроники. Однако в условиях </w:t>
      </w:r>
      <w:proofErr w:type="spellStart"/>
      <w:r>
        <w:t>глобализирующейся</w:t>
      </w:r>
      <w:proofErr w:type="spellEnd"/>
      <w:r>
        <w:t xml:space="preserve"> мировой экономики сложившаяся инновационная система Японии, основанная на широкомасштабном импорте зарубежных технологий, стала себя исчерпывать, тормозя набранный темп развития и сохранение международной </w:t>
      </w:r>
      <w:proofErr w:type="spellStart"/>
      <w:r>
        <w:t>конкурентоустойчивости</w:t>
      </w:r>
      <w:proofErr w:type="spellEnd"/>
      <w:r>
        <w:t xml:space="preserve"> японской экономики [4. С. 39].</w:t>
      </w:r>
    </w:p>
    <w:p w:rsidR="00DB0EC1" w:rsidRDefault="00DB0EC1" w:rsidP="00DB0EC1">
      <w:pPr>
        <w:spacing w:before="150" w:after="0" w:line="240" w:lineRule="auto"/>
        <w:textAlignment w:val="top"/>
      </w:pPr>
      <w:r>
        <w:t>В связи с этим, на следующем этапе развития национальной научно-технической политики Япония берет курс на производство собственных высоких технологий, постепенно снижая зависимость страны от зарубежных разработок. В рамках нового курса японским правительством начинается реализация программ, нацеленных на стимулирование собственных технологий, а также на стимулирование взаимодействия бизнеса, промышленности и образования в области НИОКР.</w:t>
      </w:r>
    </w:p>
    <w:p w:rsidR="00DB0EC1" w:rsidRDefault="00DB0EC1" w:rsidP="00DB0EC1">
      <w:pPr>
        <w:spacing w:before="150" w:after="0" w:line="240" w:lineRule="auto"/>
        <w:textAlignment w:val="top"/>
      </w:pPr>
      <w:r>
        <w:t>В 1995 г. вступил в силу «Основной закон о науке и технологиях», главной задачей которого является «обеспечение сбалансированного взаимодействия между различными направлениями науки и техники и тесного сотрудничества между участниками исследовательского процесса» [5]. Основные положения государственной научно-технической политики должны регулярно корректироваться в пятилетних «Базовых планах научного и технического развития», утверждаемых правительством</w:t>
      </w:r>
      <w:proofErr w:type="gramStart"/>
      <w:r>
        <w:t>. .</w:t>
      </w:r>
      <w:proofErr w:type="gramEnd"/>
      <w:r>
        <w:t xml:space="preserve"> «Базовые планы» включают в себя меры по развитию и укреплению связей между университетами, промышленностью и частным сектором, стимулированию притока высококвалифицированных специалистов из-за рубежа для обмена знаниями и опытом, а также закрепляют развитие инновационных технологий в качестве приоритетной задачи для научно-технической политики Японии. Приоритетными направлениями развития стали восемь областей: «науки о жизни», ИТ-технологии, науки об окружающей среде, </w:t>
      </w:r>
      <w:proofErr w:type="spellStart"/>
      <w:r>
        <w:t>нанотехнологии</w:t>
      </w:r>
      <w:proofErr w:type="spellEnd"/>
      <w:r>
        <w:t xml:space="preserve"> и новые материалы, производство и использование энергии, новые технологии в </w:t>
      </w:r>
      <w:r>
        <w:lastRenderedPageBreak/>
        <w:t>обрабатывающей промышленности, инфраструктура и исследования космоса и океана [6]. В настоящее время Япония реализует уже пятый «Базовый план».</w:t>
      </w:r>
    </w:p>
    <w:p w:rsidR="00DB0EC1" w:rsidRDefault="00DB0EC1" w:rsidP="00DB0EC1">
      <w:pPr>
        <w:spacing w:before="150" w:after="0" w:line="240" w:lineRule="auto"/>
        <w:textAlignment w:val="top"/>
      </w:pPr>
      <w:r>
        <w:t>2000-е гг. начинаются с реформ в области науки и технологий. В этот период Совет по научно-технической политике при Кабинете министров стал главным органом по выработке научно-технической политики государства [4. С. 41]. В его ведение перешли Министерство образования, культуры, спорта, науки и технологий (MEXT), и заменившее Министерство внешней торговли и промышленности (MITI) Министерство экономики, торговли и промышленности Японии (METI), также участвующие в выработке научно-технологической политики [7]. Одной из ключевых задач экономического развития Японии на современном этапе является развитие инновационных технологий и увеличение доли инвестиций в НИОКР. Так, согласно принятому в 2011 г. четвертому «Базовому плану» (2011–2015 гг.), расходы на НИОКР должны составлять приблизительно 4% ВВП [6]. Инновационное развитие страны, по мнению правительства, является ключом к восстановлению экономики Японии и выводу ее из длительного застоя. В настоящее время инновации в Японии развиваются быстрыми темпами. Объем финансирования НИОКР находится на стабильно высоком уровне (3–3,5% ВВП). Отличительной особенностью финансирования НИОКР является низкая доля участия государства (не более 25% от общего объема средств, выделенных на НИОКР), а основным источником.</w:t>
      </w:r>
    </w:p>
    <w:p w:rsidR="00DB0EC1" w:rsidRDefault="00DB0EC1" w:rsidP="00DB0EC1">
      <w:pPr>
        <w:spacing w:before="150" w:after="0" w:line="240" w:lineRule="auto"/>
        <w:textAlignment w:val="top"/>
      </w:pPr>
      <w:r>
        <w:t>финансирования данной отрасли является частный бизнес. Также Япония является одним из лидеров по численности научных работников на 1 млн. населения – порядка 5 тыс. [8] и абсолютным лидером по количеству выданных патентов, однако большинство японских патентов выданы на незначительные изобретения, а число патентов на ключевые изобретения относительно мало [4. С. 48]. К недостаткам инновационной системы Японии можно отнести недостаточное развитие собственных фундаментальных исследований, доля расходов на которые не превышает 15% от общего объема финансирования НИОКР [8], низкие показатели сотрудничества с иностранными компаниями в сфере инноваций, недостаточная поддержка малого и среднего бизнеса, а также необходимость дальнейшего укрепления связей между элементами инновационной системы.</w:t>
      </w:r>
    </w:p>
    <w:p w:rsidR="00DB0EC1" w:rsidRPr="005A2CBE" w:rsidRDefault="00DB0EC1" w:rsidP="00DB0EC1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Разработки в области ИИ не являются для Японии новым направлением. В 50-е и 80-е гг. XX в. в Японии уже предпринимались попытки создания так называемых экспертных автоматизированных систем, имитирующих человеческую логику принятия решений, например, машин для перевода иностранных языков. Третий, текущий всплеск ИР в области ИИ в Японии начался примерно в 2012-2013 гг., и был связан, в том числе, с созданием в 2010 г. американскими компаниями </w:t>
      </w:r>
      <w:proofErr w:type="spellStart"/>
      <w:r>
        <w:rPr>
          <w:rFonts w:ascii="REG" w:hAnsi="REG"/>
          <w:color w:val="000000"/>
          <w:sz w:val="23"/>
          <w:szCs w:val="23"/>
        </w:rPr>
        <w:t>Facebook</w:t>
      </w:r>
      <w:proofErr w:type="spellEnd"/>
      <w:r>
        <w:rPr>
          <w:rFonts w:ascii="REG" w:hAnsi="REG"/>
          <w:color w:val="000000"/>
          <w:sz w:val="23"/>
          <w:szCs w:val="23"/>
        </w:rPr>
        <w:t xml:space="preserve"> и </w:t>
      </w:r>
      <w:proofErr w:type="spellStart"/>
      <w:r>
        <w:rPr>
          <w:rFonts w:ascii="REG" w:hAnsi="REG"/>
          <w:color w:val="000000"/>
          <w:sz w:val="23"/>
          <w:szCs w:val="23"/>
        </w:rPr>
        <w:t>Google</w:t>
      </w:r>
      <w:proofErr w:type="spellEnd"/>
      <w:r>
        <w:rPr>
          <w:rFonts w:ascii="REG" w:hAnsi="REG"/>
          <w:color w:val="000000"/>
          <w:sz w:val="23"/>
          <w:szCs w:val="23"/>
        </w:rPr>
        <w:t xml:space="preserve"> исследовательских лабораторий по изучению ИИ. Японские исследователи обратили внимание, что американские ученые изменили подход к разработке ИИ и сфокусировались на ИР в сфере создания сложных алгоритмов </w:t>
      </w:r>
      <w:proofErr w:type="gramStart"/>
      <w:r>
        <w:rPr>
          <w:rFonts w:ascii="REG" w:hAnsi="REG"/>
          <w:color w:val="000000"/>
          <w:sz w:val="23"/>
          <w:szCs w:val="23"/>
        </w:rPr>
        <w:t>машинного обучения</w:t>
      </w:r>
      <w:proofErr w:type="gramEnd"/>
      <w:r>
        <w:rPr>
          <w:rFonts w:ascii="REG" w:hAnsi="REG"/>
          <w:color w:val="000000"/>
          <w:sz w:val="23"/>
          <w:szCs w:val="23"/>
        </w:rPr>
        <w:t xml:space="preserve"> взамен распространенного ранее обычного компьютерного программирования. Такой подход задает качественно новый виток в области исследований технологии искусственного интеллекта и делает возможности его использования почти безграничными. В результате, в период с 2016 по 2018 гг. к разработке национальных стратегий по развитию и использованию ИИ присоединились ведущие инновационные лидеры, включая Данию, Францию, Великобританию, Индию, Южную Корею, Сингапур, ОАЭ и др. Япония одной из первых приступила к выработке национальной стратегии развития ИИ. модель, при которой план предпринимаемых действий и определение отраслевых приоритетов корпоративному сектору осуществляли чиновники центральных министерств, как это было в 60-х-70-х гг. ХХ в., больше не работает. Несмотря на значительную активность правительственных кругов в подготовке рамочных документов, стратегий и дорожных карт по ИИ, японские компании по разным причинам не спешат использовать возможности и решения, предполагающие внедрение ИИ. </w:t>
      </w:r>
      <w:r w:rsidRPr="005A2CBE">
        <w:rPr>
          <w:rFonts w:ascii="REG" w:hAnsi="REG"/>
          <w:color w:val="000000"/>
          <w:sz w:val="23"/>
          <w:szCs w:val="23"/>
        </w:rPr>
        <w:t xml:space="preserve"> Глобальная задача, обозначенная в документе, состоит в </w:t>
      </w:r>
      <w:proofErr w:type="spellStart"/>
      <w:r w:rsidRPr="005A2CBE">
        <w:rPr>
          <w:rFonts w:ascii="REG" w:hAnsi="REG"/>
          <w:color w:val="000000"/>
          <w:sz w:val="23"/>
          <w:szCs w:val="23"/>
        </w:rPr>
        <w:t>сме</w:t>
      </w:r>
      <w:proofErr w:type="spellEnd"/>
      <w:r w:rsidRPr="005A2CBE">
        <w:rPr>
          <w:rFonts w:ascii="REG" w:hAnsi="REG"/>
          <w:color w:val="000000"/>
          <w:sz w:val="23"/>
          <w:szCs w:val="23"/>
        </w:rPr>
        <w:t>-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не технологических парадигм и переходе от сугубо производственной концепции «Индустрия 4.0», развиваемой Германией, к комплексной японской модели социально-экономического устройства «Общество 5.0», где новейшие цифровые технологии широко интегрированы во все сферы жизни общества, включая промышленное производство, логистику, финансовый сектор, административное управление, строительство, социальное и медицинское обслуживание. Ключевая </w:t>
      </w: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lastRenderedPageBreak/>
        <w:t>роль в достижении поставленных целей отведена внедрению технологии искусственного интеллекта.</w:t>
      </w:r>
    </w:p>
    <w:p w:rsidR="00DB0EC1" w:rsidRPr="005A2CBE" w:rsidRDefault="00DB0EC1" w:rsidP="00DB0EC1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 w:rsidRPr="005A2CBE">
        <w:rPr>
          <w:rFonts w:ascii="REG" w:hAnsi="REG"/>
          <w:color w:val="000000"/>
          <w:sz w:val="23"/>
          <w:szCs w:val="23"/>
        </w:rPr>
        <w:t xml:space="preserve">Японская практика выработки национальных стратегий, независимо от сферы, хорошо известна своей целенаправленностью, комплексностью и последовательностью. При ведущей роли правительства в процесс решения поставленных задач постепенно вовлекаются участники всех трех секторов и на всех уровнях сверху вниз. При этом каждый из участников разрабатывает собственные планы развития стратегических областей, исходя из принятых общегосударственных стратегий и выделяя для себя приоритетные отрасли и направления. </w:t>
      </w:r>
      <w:r>
        <w:rPr>
          <w:rFonts w:ascii="REG" w:hAnsi="REG"/>
          <w:color w:val="000000"/>
          <w:sz w:val="23"/>
          <w:szCs w:val="23"/>
        </w:rPr>
        <w:t xml:space="preserve"> К</w:t>
      </w:r>
      <w:r w:rsidRPr="005A2CBE">
        <w:rPr>
          <w:rFonts w:ascii="REG" w:hAnsi="REG"/>
          <w:color w:val="000000"/>
          <w:sz w:val="23"/>
          <w:szCs w:val="23"/>
        </w:rPr>
        <w:t>онтроль за реализацией данных проектов был передан учрежденному при кабинете министров Стратегическому совету по развитию и исследованиям техноло</w:t>
      </w:r>
      <w:r>
        <w:rPr>
          <w:rFonts w:ascii="REG" w:hAnsi="REG"/>
          <w:color w:val="000000"/>
          <w:sz w:val="23"/>
          <w:szCs w:val="23"/>
        </w:rPr>
        <w:t xml:space="preserve">гии искусственного интеллекта. </w:t>
      </w:r>
      <w:r w:rsidRPr="005A2CBE">
        <w:rPr>
          <w:rFonts w:ascii="REG" w:hAnsi="REG"/>
          <w:color w:val="000000"/>
          <w:sz w:val="23"/>
          <w:szCs w:val="23"/>
        </w:rPr>
        <w:t>Помимо содействия исследованиям и разработкам в области искусственного интеллекта, Совет координирует деятельность, связанную непосредственно с отраслями, использующими данную технологию с целью поддержки и стимулирования дальнейшего внедрения ИИ в общество. В ведении Стратегического совета по ИИ также находятся три крупных исследовательских центра: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1. Центр информационных технологий и нейронных сетей (</w:t>
      </w:r>
      <w:proofErr w:type="spellStart"/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CiNet</w:t>
      </w:r>
      <w:proofErr w:type="spellEnd"/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), Всеобщий научно-исследовательский институт связи (UCRI) при Национальном институте информационных и коммуникационных технологий (NICT);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2. Центр перспективных исследовательских проектов (AIP) при Институте физико-химических технологий (RIKEN);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3. Научно-исследовательский центр искусственного интеллекта (AIRC) при Японском национальном институте передовых промышленных наук и технологий (AIST).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В 2017 г., через год после основания, Совет выпустил «Технологическую стратегию по развитию искусственного интеллекта» 5 и сопутствующую дорожную карту. Согласно подготовленной стратегии, для достижения лидерства в области искусственного интеллекта необходимо решить следующие задачи: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• подготовить комплексный план по развитию промышленных секторов с использованием технологии искусственного интеллекта;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• создать площадку, объединяющую представителей промышленного, академического и государственного секторов с целью выработки более детального и продуманного подхода к проводимым ИР и дальнейшей коммерциализации полученных результатов.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Ключевым механизмом Стратегии стала стратегическая инвестиционная программа в области ИР, проводимых государственными и частными исследовательскими организациями, известная как «PRISM» («Программа стратегического расширения государственных и частных инвестиций в ИР») 6. Данная программа предусматривает оказание значительной поддержки взаимодействию промышленного и академического секторов для проведения конкретных научных исследований по таким стратегическим направлениям, как искусственный интеллект, робототехника, квантовая оптика и др. Куратором данной программы выступает Совет по науке, технологиям и инновациям, который также является высшим консультативным органом в области разработки национальной политики научно-технического и инновационного развития и входит в состав канцелярии Кабинета министров.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Для детальной проработки стратегии были сформированы четыре рабочие группы совместно с несколькими министерствами, а также поставлены задачи по проведению комплексных исследований в контексте использования ИИ по таким направлениям, как: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• подготовка плана индустриализации,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• укрепление человеческого капитала,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• разработка и поддержка </w:t>
      </w:r>
      <w:proofErr w:type="gramStart"/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открытых баз</w:t>
      </w:r>
      <w:proofErr w:type="gramEnd"/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данных и инструментов для их исследования,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• поддержка </w:t>
      </w:r>
      <w:proofErr w:type="spellStart"/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стартапов</w:t>
      </w:r>
      <w:proofErr w:type="spellEnd"/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и финансирование инновационных предприятий,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lastRenderedPageBreak/>
        <w:t>• интеллектуальная собственность,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• защита персональных данных и конфиденциальность,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• продвижение открытых баз данных.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Исходя из описаний, данных в Стратегии, технология искусственного интеллекта интерпретируется как услуга или своего рода сервисный инструмент для обеспечения нужд и решения задач различных секторов. В рамках представленного документа развитие технологии ИИ в Японии было решено разделить на три этапа: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5 Технологическая стратегия по развитию искусственного интеллекта. URL: https://www.nedo.go.lp/content/100862412.pdf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val="en-US"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6 Программа стратегического расширения государственных и частных инвестиций в ИР. </w:t>
      </w:r>
      <w:r w:rsidRPr="005A2CBE">
        <w:rPr>
          <w:rFonts w:ascii="REG" w:eastAsia="Times New Roman" w:hAnsi="REG" w:cs="Times New Roman"/>
          <w:color w:val="000000"/>
          <w:sz w:val="23"/>
          <w:szCs w:val="23"/>
          <w:lang w:val="en-US" w:eastAsia="ru-RU"/>
        </w:rPr>
        <w:t xml:space="preserve">URL: https://www8.cao.go.jp/cstp/budget/ </w:t>
      </w:r>
      <w:proofErr w:type="spellStart"/>
      <w:r w:rsidRPr="005A2CBE">
        <w:rPr>
          <w:rFonts w:ascii="REG" w:eastAsia="Times New Roman" w:hAnsi="REG" w:cs="Times New Roman"/>
          <w:color w:val="000000"/>
          <w:sz w:val="23"/>
          <w:szCs w:val="23"/>
          <w:lang w:val="en-US" w:eastAsia="ru-RU"/>
        </w:rPr>
        <w:t>yosansenryaku</w:t>
      </w:r>
      <w:proofErr w:type="spellEnd"/>
      <w:r w:rsidRPr="005A2CBE">
        <w:rPr>
          <w:rFonts w:ascii="REG" w:eastAsia="Times New Roman" w:hAnsi="REG" w:cs="Times New Roman"/>
          <w:color w:val="000000"/>
          <w:sz w:val="23"/>
          <w:szCs w:val="23"/>
          <w:lang w:val="en-US" w:eastAsia="ru-RU"/>
        </w:rPr>
        <w:t>/11kai/siryo3.pdf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1. Использование и внедрение ИИ в качестве инструмента аналитики и сбора данных по заданным параметрам в выбранных секторах.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2. Повсеместное социальное использование ИИ и больших данных, подготовленных по различным областям жизни общества.</w:t>
      </w:r>
    </w:p>
    <w:p w:rsidR="00DB0EC1" w:rsidRPr="005A2CBE" w:rsidRDefault="00DB0EC1" w:rsidP="00DB0EC1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5A2CBE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3. Создание единой системы, включающей различные сектора и области как на уровне массового общественного использования, так и в индивидуальном пространстве.</w:t>
      </w:r>
    </w:p>
    <w:p w:rsidR="00DB0EC1" w:rsidRPr="005A2CBE" w:rsidRDefault="00DB0EC1" w:rsidP="00DB0EC1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Японское правительство признает проблему отсутствия достаточного числа специалистов, способных работать и взаимодействовать с новейшими технологиями. Предполагается, что к 2020 г. будет подготовлено порядка 50 тыс. инженеров в сфере передовых информационных технологий и около 300 тыс. инженеров с более общими навыками и знаниями в сфере информационных технологий. Правительство уже предприняло ряд мер для подготовки к 2020 г. как минимум 30 тыс. 1Т-инженеров в сфере передовых информационных технологий и 150 тыс. специалистов общего профиля соответственно. С этой целью была разработана специализированная образовательная программа, в подготовке которой приняли участие Министерство экономики торговли и промышленности и Министерство образования, культуры, спорта, науки и технологий. Данная программа предназначена для обучения японских выпускников в сфере информационных технологий. В конце 2017 г. оба министерства провели несколько консультаций по подготовке и развитию новой образовательной программы, куда были приглашены представители университетов, торговых палат, бизнес-сообществ, таких как, например, </w:t>
      </w:r>
      <w:proofErr w:type="spellStart"/>
      <w:r>
        <w:rPr>
          <w:rFonts w:ascii="REG" w:hAnsi="REG"/>
          <w:color w:val="000000"/>
          <w:sz w:val="23"/>
          <w:szCs w:val="23"/>
        </w:rPr>
        <w:t>Кейдан-рен</w:t>
      </w:r>
      <w:proofErr w:type="spellEnd"/>
      <w:r>
        <w:rPr>
          <w:rFonts w:ascii="REG" w:hAnsi="REG"/>
          <w:color w:val="000000"/>
          <w:sz w:val="23"/>
          <w:szCs w:val="23"/>
        </w:rPr>
        <w:t>, которое принимает активное участие в разработке новой образовательной программы как части общего комплексного плана развития технологии искусственного интеллекта в Японии.</w:t>
      </w:r>
    </w:p>
    <w:p w:rsidR="002455D5" w:rsidRDefault="002455D5"/>
    <w:sectPr w:rsidR="002455D5" w:rsidSect="00DB0E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3A"/>
    <w:rsid w:val="002455D5"/>
    <w:rsid w:val="0049103A"/>
    <w:rsid w:val="00D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669D-6B62-4092-9666-856FB4FE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C1"/>
  </w:style>
  <w:style w:type="paragraph" w:styleId="1">
    <w:name w:val="heading 1"/>
    <w:basedOn w:val="a"/>
    <w:next w:val="a"/>
    <w:link w:val="10"/>
    <w:uiPriority w:val="9"/>
    <w:qFormat/>
    <w:rsid w:val="00DB0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B0E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-nayka.com/jour/article/view/976?locale=ru_RU" TargetMode="External"/><Relationship Id="rId5" Type="http://schemas.openxmlformats.org/officeDocument/2006/relationships/hyperlink" Target="https://www.mir-nayka.com/index.php/jour/search?authors=%D0%9A.%20AND%20%D0%A1.%20AND%20%D0%9A%D0%BE%D1%81%D1%82%D1%8E%D0%BA%D0%BE%D0%B2%D0%B0" TargetMode="External"/><Relationship Id="rId4" Type="http://schemas.openxmlformats.org/officeDocument/2006/relationships/hyperlink" Target="file:///C:/Users/Pchelp/Downloads/&#1060;&#1086;&#1088;&#1084;&#1080;&#1088;&#1086;&#1074;&#1072;&#1085;&#1080;&#1077;%20&#1085;&#1072;&#1091;&#1095;&#1085;&#1086;&#1090;&#1077;&#1093;&#1085;&#1086;&#1083;&#1086;&#1075;&#1080;&#1095;&#1077;&#1082;&#1086;&#1081;%20&#1080;%20&#1080;&#1085;&#1085;&#1086;&#1074;&#1072;&#1094;&#1080;&#1086;&#1085;&#1085;&#1086;&#1081;%20&#1089;&#1080;&#1089;&#1090;&#1077;&#1084;&#1099;%20&#1071;&#1087;&#1086;&#1085;&#1080;&#1080;%20(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2788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2022-10-05T14:00:00Z</dcterms:created>
  <dcterms:modified xsi:type="dcterms:W3CDTF">2022-10-05T14:00:00Z</dcterms:modified>
</cp:coreProperties>
</file>